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ПОЛОЖЕНИЕ 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О ПРОВЕДЕНИИ </w:t>
      </w:r>
      <w:r>
        <w:rPr>
          <w:rFonts w:ascii="Times New Roman Bold"/>
          <w:sz w:val="28"/>
          <w:szCs w:val="28"/>
          <w:rtl w:val="0"/>
          <w:lang w:val="ru-RU"/>
        </w:rPr>
        <w:t>II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МЕЖВЕДОМСТВЕННОГО КОНКУРСА 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ПРОИЗВОДИТЕЛЕЙ И ПОСТАВЩИКОВ УЧЕБНОГО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 ОБОРУДОВАНИЯ И СРЕДСТВ ОБУЧЕНИЯ ДЛЯ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«ВЫБОР ПЕДАГОГОВ»</w:t>
      </w:r>
    </w:p>
    <w:p>
      <w:pPr>
        <w:pStyle w:val="Normal"/>
        <w:shd w:val="clear" w:color="auto" w:fill="ffffff"/>
        <w:spacing w:after="120" w:line="312" w:lineRule="atLeast"/>
        <w:ind w:left="2268" w:firstLine="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hd w:val="clear" w:color="auto" w:fill="ffffff"/>
        <w:spacing w:after="120" w:line="312" w:lineRule="atLeast"/>
        <w:ind w:left="2977" w:firstLine="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Утверждено на заседании организационного комитета </w:t>
      </w:r>
      <w:r>
        <w:rPr>
          <w:rFonts w:ascii="Times New Roman Bold"/>
          <w:sz w:val="28"/>
          <w:szCs w:val="28"/>
          <w:rtl w:val="0"/>
          <w:lang w:val="ru-RU"/>
        </w:rPr>
        <w:t>I</w:t>
      </w:r>
      <w:r>
        <w:rPr>
          <w:rFonts w:ascii="Times New Roman Bold"/>
          <w:sz w:val="28"/>
          <w:szCs w:val="28"/>
          <w:rtl w:val="0"/>
          <w:lang w:val="ru-RU"/>
        </w:rPr>
        <w:t>I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Межведомственного конкурса для производителей и поставщиков учебного оборудования и средств обучения «ВЫБОР ПЕДАГОГОВ» </w:t>
      </w:r>
    </w:p>
    <w:p>
      <w:pPr>
        <w:pStyle w:val="Normal"/>
        <w:shd w:val="clear" w:color="auto" w:fill="ffffff"/>
        <w:spacing w:after="120" w:line="312" w:lineRule="atLeast"/>
        <w:ind w:left="6946" w:hanging="567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</w:t>
      </w:r>
      <w:r>
        <w:rPr>
          <w:rFonts w:ascii="Times New Roman Bold"/>
          <w:sz w:val="28"/>
          <w:szCs w:val="28"/>
          <w:rtl w:val="0"/>
          <w:lang w:val="ru-RU"/>
        </w:rPr>
        <w:t>1</w:t>
      </w:r>
      <w:r>
        <w:rPr>
          <w:rFonts w:ascii="Times New Roman Bold"/>
          <w:sz w:val="28"/>
          <w:szCs w:val="28"/>
          <w:rtl w:val="0"/>
          <w:lang w:val="ru-RU"/>
        </w:rPr>
        <w:t>6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» </w:t>
      </w:r>
      <w:r>
        <w:rPr>
          <w:rFonts w:hAnsi="Times New Roman Bold" w:hint="default"/>
          <w:sz w:val="28"/>
          <w:szCs w:val="28"/>
          <w:rtl w:val="0"/>
          <w:lang w:val="ru-RU"/>
        </w:rPr>
        <w:t>декабр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я </w:t>
      </w:r>
      <w:r>
        <w:rPr>
          <w:rFonts w:ascii="Times New Roman Bold"/>
          <w:sz w:val="28"/>
          <w:szCs w:val="28"/>
          <w:rtl w:val="0"/>
          <w:lang w:val="ru-RU"/>
        </w:rPr>
        <w:t xml:space="preserve">2016 </w:t>
      </w:r>
      <w:r>
        <w:rPr>
          <w:rFonts w:hAnsi="Times New Roman Bold" w:hint="default"/>
          <w:sz w:val="28"/>
          <w:szCs w:val="28"/>
          <w:rtl w:val="0"/>
          <w:lang w:val="ru-RU"/>
        </w:rPr>
        <w:t>года</w:t>
      </w:r>
    </w:p>
    <w:p>
      <w:pPr>
        <w:pStyle w:val="Normal"/>
        <w:shd w:val="clear" w:color="auto" w:fill="ffffff"/>
        <w:spacing w:after="120" w:line="332" w:lineRule="atLeast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shd w:val="clear" w:color="auto" w:fill="ffffff"/>
        <w:spacing w:after="120" w:line="332" w:lineRule="atLeast"/>
        <w:ind w:firstLine="709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1. </w:t>
      </w:r>
      <w:r>
        <w:rPr>
          <w:rFonts w:hAnsi="Times New Roman Bold" w:hint="default"/>
          <w:sz w:val="28"/>
          <w:szCs w:val="28"/>
          <w:rtl w:val="0"/>
          <w:lang w:val="ru-RU"/>
        </w:rPr>
        <w:t>ОБЩАЯ КОНЦЕПЦИЯ КОНКУРСА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Межведомственный конкурс </w:t>
      </w:r>
      <w:r>
        <w:rPr>
          <w:rFonts w:hAnsi="Times New Roman Bold" w:hint="default"/>
          <w:sz w:val="28"/>
          <w:szCs w:val="28"/>
          <w:rtl w:val="0"/>
          <w:lang w:val="ru-RU"/>
        </w:rPr>
        <w:t>«ВЫБОР ПЕДАГОГОВ»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– эффективный способ реализации обратной связи между педагогическим сообществом и компаниями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производящими или поставляющими оборудование и средства обучения для системы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выявления потребности образовательного сообщества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повышения качества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функциональности и доступности предложений от компаний для системы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организации 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 учетом максимального удовлетворения потребностей развивающихся организаций и педагогов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ИНИЦИАТОР КОНКУРСА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– Ассоциация участников рынка артиндустрии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Конкурс проводится в рамках Межрегионального межведомственного образовательного форума для руководителей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педагогов и других специалистов организаций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реализующих программы в области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ind w:lef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ЦЕЛЬ</w:t>
      </w:r>
      <w:r>
        <w:rPr>
          <w:rFonts w:ascii="Times New Roman Bold"/>
          <w:sz w:val="28"/>
          <w:szCs w:val="28"/>
          <w:rtl w:val="0"/>
          <w:lang w:val="ru-RU"/>
        </w:rPr>
        <w:t>: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Отметить признанием педагогического сообщества учебное оборудование и средства обучения компаний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максимально обеспечивающие удовлетворение потребности педагогов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Рекомендовать образовательным организациям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реализующим программы в области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или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приобретать учебное оборудование и средства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отмеченные специальном знаком «Выбор педагогов»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для решения задач по обновлению программного поля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совершенствованию материально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технической базы и развитию кадрового потенциала в соответствии с современными тенденциями модернизации системы образования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ЗАДАЧИ КОНКУРСА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lead"/>
        <w:numPr>
          <w:ilvl w:val="0"/>
          <w:numId w:val="3"/>
        </w:numPr>
        <w:shd w:val="clear" w:color="auto" w:fill="ffffff"/>
        <w:tabs>
          <w:tab w:val="num" w:pos="669"/>
          <w:tab w:val="clear" w:pos="720"/>
        </w:tabs>
        <w:bidi w:val="0"/>
        <w:spacing w:before="0" w:after="120"/>
        <w:ind w:left="669" w:right="0" w:hanging="309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Запустить механизм поддержания коммуникационной связи между педагогическим сообществом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производителями и поставщиками учебного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обеспечивающий выявление потребностей развивающихся организаций и педагогов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реализующих программы в области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</w:p>
    <w:p>
      <w:pPr>
        <w:pStyle w:val="lead"/>
        <w:numPr>
          <w:ilvl w:val="0"/>
          <w:numId w:val="3"/>
        </w:numPr>
        <w:shd w:val="clear" w:color="auto" w:fill="ffffff"/>
        <w:tabs>
          <w:tab w:val="num" w:pos="669"/>
          <w:tab w:val="clear" w:pos="720"/>
        </w:tabs>
        <w:bidi w:val="0"/>
        <w:spacing w:before="0" w:after="120"/>
        <w:ind w:left="669" w:right="0" w:hanging="309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 Выделить наиболее соответствующее запросам системы дополнительного образования учебное оборудование и средства обучения для различных направленностей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организации внеурочной и культурно досуговой деятельности ДОД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с учетом возрастных групп обучающихся</w:t>
      </w:r>
      <w:r>
        <w:rPr>
          <w:rFonts w:ascii="Times New Roman Bold"/>
          <w:sz w:val="28"/>
          <w:szCs w:val="28"/>
          <w:rtl w:val="0"/>
          <w:lang w:val="ru-RU"/>
        </w:rPr>
        <w:t xml:space="preserve">). </w:t>
      </w:r>
    </w:p>
    <w:p>
      <w:pPr>
        <w:pStyle w:val="lead"/>
        <w:numPr>
          <w:ilvl w:val="0"/>
          <w:numId w:val="3"/>
        </w:numPr>
        <w:shd w:val="clear" w:color="auto" w:fill="ffffff"/>
        <w:tabs>
          <w:tab w:val="num" w:pos="669"/>
          <w:tab w:val="clear" w:pos="720"/>
        </w:tabs>
        <w:bidi w:val="0"/>
        <w:spacing w:before="0" w:after="120"/>
        <w:ind w:left="669" w:right="0" w:hanging="309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Апробировать механизмы ГЧП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позволяющие выстраивать эффективные партнёрские отношения между производителями и поставщиками современного оборудования и средств обучения и организациями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реализующими программы в области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</w:p>
    <w:p>
      <w:pPr>
        <w:pStyle w:val="lead"/>
        <w:numPr>
          <w:ilvl w:val="0"/>
          <w:numId w:val="3"/>
        </w:numPr>
        <w:shd w:val="clear" w:color="auto" w:fill="ffffff"/>
        <w:tabs>
          <w:tab w:val="num" w:pos="669"/>
          <w:tab w:val="clear" w:pos="720"/>
        </w:tabs>
        <w:bidi w:val="0"/>
        <w:spacing w:before="0" w:after="120"/>
        <w:ind w:left="669" w:right="0" w:hanging="309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Отработать механизм внедрения учебного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обеспечивающий активизацию производителей на более широкое производство разнообразных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имеющих важное значение для развития системы дополнительного образования и 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818"/>
        </w:tabs>
        <w:bidi w:val="0"/>
        <w:ind w:left="720" w:right="0" w:hanging="360"/>
        <w:jc w:val="both"/>
        <w:rPr>
          <w:rFonts w:ascii="Times New Roman Bold" w:cs="Times New Roman Bold" w:hAnsi="Times New Roman Bold" w:eastAsia="Times New Roman Bold"/>
          <w:position w:val="0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Отработать механизм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позволяющий поддержать имидж отечественных производителей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повысить информированность и доверие педагогического сообщества к производителям и поставщикам современного учебного оборудования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средств обучения и комплексных продуктов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предлагаемых для обновления программного поля и совершенствования материально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технической базы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ead"/>
        <w:shd w:val="clear" w:color="auto" w:fill="ffffff"/>
        <w:spacing w:before="0" w:after="120" w:line="332" w:lineRule="atLeast"/>
        <w:ind w:left="851" w:firstLine="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2. </w:t>
      </w:r>
      <w:r>
        <w:rPr>
          <w:rFonts w:hAnsi="Times New Roman Bold" w:hint="default"/>
          <w:sz w:val="28"/>
          <w:szCs w:val="28"/>
          <w:rtl w:val="0"/>
          <w:lang w:val="ru-RU"/>
        </w:rPr>
        <w:t>ОРГАНИЗАТОРЫ КОНКУРСА</w:t>
      </w:r>
    </w:p>
    <w:p>
      <w:pPr>
        <w:pStyle w:val="lead"/>
        <w:shd w:val="clear" w:color="auto" w:fill="ffffff"/>
        <w:spacing w:before="0"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2.1. </w:t>
      </w:r>
      <w:r>
        <w:rPr>
          <w:rFonts w:hAnsi="Times New Roman Bold" w:hint="default"/>
          <w:sz w:val="28"/>
          <w:szCs w:val="28"/>
          <w:rtl w:val="0"/>
          <w:lang w:val="ru-RU"/>
        </w:rPr>
        <w:t>Организаторами конкурса являются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lead"/>
        <w:numPr>
          <w:ilvl w:val="0"/>
          <w:numId w:val="8"/>
        </w:numPr>
        <w:shd w:val="clear" w:color="auto" w:fill="ffffff"/>
        <w:tabs>
          <w:tab w:val="num" w:pos="658"/>
          <w:tab w:val="clear" w:pos="348"/>
        </w:tabs>
        <w:bidi w:val="0"/>
        <w:spacing w:before="0" w:after="120"/>
        <w:ind w:left="298" w:right="0" w:firstLine="62"/>
        <w:jc w:val="both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НП Ассоциация участников рынка артиндустрии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lead"/>
        <w:numPr>
          <w:ilvl w:val="0"/>
          <w:numId w:val="11"/>
        </w:numPr>
        <w:shd w:val="clear" w:color="auto" w:fill="ffffff"/>
        <w:tabs>
          <w:tab w:val="num" w:pos="658"/>
          <w:tab w:val="clear" w:pos="348"/>
        </w:tabs>
        <w:bidi w:val="0"/>
        <w:spacing w:before="0" w:after="120"/>
        <w:ind w:left="298" w:right="0" w:firstLine="62"/>
        <w:jc w:val="both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Гильдия Арт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педагогов при НП АУРА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lead"/>
        <w:numPr>
          <w:ilvl w:val="0"/>
          <w:numId w:val="14"/>
        </w:numPr>
        <w:shd w:val="clear" w:color="auto" w:fill="ffffff"/>
        <w:tabs>
          <w:tab w:val="num" w:pos="658"/>
          <w:tab w:val="clear" w:pos="348"/>
        </w:tabs>
        <w:bidi w:val="0"/>
        <w:spacing w:before="0" w:after="120"/>
        <w:ind w:left="298" w:right="0" w:firstLine="62"/>
        <w:jc w:val="both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Гильдия индустрии мехатроники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робототехники и других видов технического творчества при НП АУРА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lead"/>
        <w:numPr>
          <w:ilvl w:val="0"/>
          <w:numId w:val="15"/>
        </w:numPr>
        <w:shd w:val="clear" w:color="auto" w:fill="ffffff"/>
        <w:tabs>
          <w:tab w:val="num" w:pos="658"/>
          <w:tab w:val="clear" w:pos="348"/>
        </w:tabs>
        <w:bidi w:val="0"/>
        <w:spacing w:before="0" w:after="120"/>
        <w:ind w:left="298" w:right="0" w:firstLine="62"/>
        <w:jc w:val="both"/>
        <w:rPr>
          <w:rFonts w:ascii="Times New Roman Bold" w:cs="Times New Roman Bold" w:hAnsi="Times New Roman Bold" w:eastAsia="Times New Roman Bold"/>
          <w:position w:val="0"/>
          <w:sz w:val="24"/>
          <w:szCs w:val="24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Общероссийское общественное движение творческих педагогов «Исследователь»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ead"/>
        <w:shd w:val="clear" w:color="auto" w:fill="ffffff"/>
        <w:spacing w:before="0"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2.2.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Главным руководящим органом конкурса является организационный комитет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далее – Оргкомитет</w:t>
      </w:r>
      <w:r>
        <w:rPr>
          <w:rFonts w:ascii="Times New Roman Bold"/>
          <w:sz w:val="28"/>
          <w:szCs w:val="28"/>
          <w:rtl w:val="0"/>
          <w:lang w:val="ru-RU"/>
        </w:rPr>
        <w:t xml:space="preserve">). </w:t>
      </w:r>
      <w:r>
        <w:rPr>
          <w:rFonts w:hAnsi="Times New Roman Bold" w:hint="default"/>
          <w:sz w:val="28"/>
          <w:szCs w:val="28"/>
          <w:rtl w:val="0"/>
          <w:lang w:val="ru-RU"/>
        </w:rPr>
        <w:t>В состав Оргкомитета входят представители организаторов конкурса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органов исполнительной власти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науки и педагогического сообщества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</w:p>
    <w:p>
      <w:pPr>
        <w:pStyle w:val="heading 2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2.4. </w:t>
      </w:r>
      <w:r>
        <w:rPr>
          <w:rFonts w:hAnsi="Times New Roman Bold" w:hint="default"/>
          <w:sz w:val="28"/>
          <w:szCs w:val="28"/>
          <w:rtl w:val="0"/>
          <w:lang w:val="ru-RU"/>
        </w:rPr>
        <w:t>Для определения в каждой номинации учебного оборудования и средств обучения соответствующих запросам дополнительного образования или внеурочной деятельности Оргкомитетом конкурса создается «Экспертный педагогический совет»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работа которого позволит донести информацию о запросах педагогов до производителей и поставщиков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сориентировать их в актуальных потребностях организаций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реализующих программы в области дополнительного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через педагогическую оценку функциональности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востребованности и доступности учебного оборудования и средств обучения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heading 2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2.5. </w:t>
      </w:r>
      <w:r>
        <w:rPr>
          <w:rFonts w:hAnsi="Times New Roman Bold" w:hint="default"/>
          <w:sz w:val="28"/>
          <w:szCs w:val="28"/>
          <w:rtl w:val="0"/>
          <w:lang w:val="ru-RU"/>
        </w:rPr>
        <w:t>Состав «Экспертного педагогический совета» по каждой номинации формируется из высококвалифицированных специалистов по соответствующей направленности дополнительного образования или направления внеурочной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heading 2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2.6.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Педагогом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экспертом Конкурса может стать сотрудник научно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исследовательской организации и организации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реализующей образовательные программы дополнительного образования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 использованием современных образовательных технологий и средств обучения и повреждающий свое согласие на участие в «педагогической экспертизе»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heading 2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2.7. </w:t>
      </w:r>
      <w:r>
        <w:rPr>
          <w:rFonts w:hAnsi="Times New Roman Bold" w:hint="default"/>
          <w:sz w:val="28"/>
          <w:szCs w:val="28"/>
          <w:rtl w:val="0"/>
          <w:lang w:val="ru-RU"/>
        </w:rPr>
        <w:t>Работа «Экспертных педагогических советов» начинается до начала Форума и продлится до его окончания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На основании подготовленных экспертных заключений и голосования в каждой номинации определяется учебное оборудование и средства обучения для эффективной реализации образовательных программ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 том числе для системы дополнительного образования детей и</w:t>
      </w:r>
      <w:r>
        <w:rPr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внеурочной 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которому присваивается статус и отличительный знак «Рекомендовано педагогическим сообществом»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heading 2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2.8. </w:t>
      </w:r>
      <w:r>
        <w:rPr>
          <w:rFonts w:hAnsi="Times New Roman Bold" w:hint="default"/>
          <w:sz w:val="28"/>
          <w:szCs w:val="28"/>
          <w:rtl w:val="0"/>
          <w:lang w:val="ru-RU"/>
        </w:rPr>
        <w:t>По результатам голосования педагогических экспертов в каждой номинации определяется лучшая компания производящая или поставляющая учебное оборудование и средства обучения для эффективной реализации образовательных программ в системе дополнительного образования детей и</w:t>
      </w:r>
      <w:r>
        <w:rPr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во внеурочной деятельности</w:t>
      </w:r>
    </w:p>
    <w:p>
      <w:pPr>
        <w:pStyle w:val="Normal"/>
        <w:shd w:val="clear" w:color="auto" w:fill="ffffff"/>
        <w:spacing w:after="120" w:line="332" w:lineRule="atLeast"/>
        <w:ind w:firstLine="709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3. </w:t>
      </w:r>
      <w:r>
        <w:rPr>
          <w:rFonts w:hAnsi="Times New Roman Bold" w:hint="default"/>
          <w:sz w:val="28"/>
          <w:szCs w:val="28"/>
          <w:rtl w:val="0"/>
          <w:lang w:val="ru-RU"/>
        </w:rPr>
        <w:t>ПОЛНОМОЧИЯ ОРГКОМИТЕТА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Оргкомитет осуществляет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• Утверждение Положения о конкурсе и ведение постоянного контроля его соблюдения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• Утверждение процедуры экспертизы и голосования педагогических экспертов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• Оперативное управление подготовкой и проведением конкурса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• Определение победителей конкурса с учетом результатов голосования потребителей и членов Экспертного совета</w:t>
      </w:r>
      <w:r>
        <w:rPr>
          <w:rFonts w:ascii="Times New Roman Bold"/>
          <w:sz w:val="28"/>
          <w:szCs w:val="28"/>
          <w:rtl w:val="0"/>
          <w:lang w:val="ru-RU"/>
        </w:rPr>
        <w:t>;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• Утверждение результатов конкурса по каждой номинации </w:t>
      </w:r>
    </w:p>
    <w:p>
      <w:pPr>
        <w:pStyle w:val="Normal"/>
        <w:shd w:val="clear" w:color="auto" w:fill="ffffff"/>
        <w:spacing w:after="120" w:line="240" w:lineRule="auto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• Организацию церемонии награждения компаний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победивших в конкурсе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вручение специального значка «Рекомендовано педагогическим сообществом» и присвоение соответствующего статуса учебному оборудованию и средствам обучения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ind w:firstLine="567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 </w:t>
      </w:r>
      <w:r>
        <w:rPr>
          <w:rFonts w:hAnsi="Times New Roman Bold" w:hint="default"/>
          <w:sz w:val="28"/>
          <w:szCs w:val="28"/>
          <w:rtl w:val="0"/>
          <w:lang w:val="ru-RU"/>
        </w:rPr>
        <w:t>УСЛОВИЯ УЧАСТИЯ В КОНКУРСЕ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4.1. </w:t>
      </w:r>
      <w:r>
        <w:rPr>
          <w:rFonts w:hAnsi="Times New Roman Bold" w:hint="default"/>
          <w:sz w:val="28"/>
          <w:szCs w:val="28"/>
          <w:rtl w:val="0"/>
          <w:lang w:val="ru-RU"/>
        </w:rPr>
        <w:t>К участию в конкурсе приглашаются компании и индивидуальные предприниматели производящие и поставляющие учебное оборудование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 средства обучения для организаций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реализующих образовательные услуги в сфере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4.2.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Участие в конкурсе для компаний и индивидуальных предпринимателей производящих и поставляющих учебное оборудование для системы ДОД на договорной основе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4.3. </w:t>
      </w:r>
      <w:r>
        <w:rPr>
          <w:rFonts w:hAnsi="Times New Roman Bold" w:hint="default"/>
          <w:sz w:val="28"/>
          <w:szCs w:val="28"/>
          <w:rtl w:val="0"/>
          <w:lang w:val="ru-RU"/>
        </w:rPr>
        <w:t>Реестр участников конкурса формируется на основании списков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подготовленных Оргкомитетом с учетом информации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представленной в Оргкомитет компаниями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производящими и поставляющими оборудование и средства обучения для системы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а также заявок на участие в конкурсе направленных претендентами самостоятельно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форма заявки </w:t>
      </w:r>
      <w:r>
        <w:rPr>
          <w:rFonts w:ascii="Times New Roman Bold"/>
          <w:sz w:val="28"/>
          <w:szCs w:val="28"/>
          <w:rtl w:val="0"/>
          <w:lang w:val="ru-RU"/>
        </w:rPr>
        <w:t xml:space="preserve">- </w:t>
      </w:r>
      <w:r>
        <w:rPr>
          <w:rFonts w:hAnsi="Times New Roman Bold" w:hint="default"/>
          <w:sz w:val="28"/>
          <w:szCs w:val="28"/>
          <w:rtl w:val="0"/>
          <w:lang w:val="ru-RU"/>
        </w:rPr>
        <w:t>прилагается</w:t>
      </w:r>
      <w:r>
        <w:rPr>
          <w:rFonts w:ascii="Times New Roman Bold"/>
          <w:sz w:val="28"/>
          <w:szCs w:val="28"/>
          <w:rtl w:val="0"/>
          <w:lang w:val="ru-RU"/>
        </w:rPr>
        <w:t>)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4.4. </w:t>
      </w:r>
      <w:r>
        <w:rPr>
          <w:rFonts w:hAnsi="Times New Roman Bold" w:hint="default"/>
          <w:sz w:val="28"/>
          <w:szCs w:val="28"/>
          <w:rtl w:val="0"/>
          <w:lang w:val="ru-RU"/>
        </w:rPr>
        <w:t>Прием заявок от компаний и индивидуальных предпринимателей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желающих принять участие в конкурсе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осуществляется с </w:t>
      </w:r>
      <w:r>
        <w:rPr>
          <w:rFonts w:ascii="Times New Roman Bold"/>
          <w:sz w:val="28"/>
          <w:szCs w:val="28"/>
          <w:rtl w:val="0"/>
          <w:lang w:val="ru-RU"/>
        </w:rPr>
        <w:t xml:space="preserve">01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марта по </w:t>
      </w:r>
      <w:r>
        <w:rPr>
          <w:rFonts w:ascii="Times New Roman Bold"/>
          <w:sz w:val="28"/>
          <w:szCs w:val="28"/>
          <w:rtl w:val="0"/>
          <w:lang w:val="ru-RU"/>
        </w:rPr>
        <w:t xml:space="preserve">14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 Bold"/>
          <w:sz w:val="28"/>
          <w:szCs w:val="28"/>
          <w:rtl w:val="0"/>
          <w:lang w:val="ru-RU"/>
        </w:rPr>
        <w:t xml:space="preserve">2016 </w:t>
      </w:r>
      <w:r>
        <w:rPr>
          <w:rFonts w:hAnsi="Times New Roman Bold" w:hint="default"/>
          <w:sz w:val="28"/>
          <w:szCs w:val="28"/>
          <w:rtl w:val="0"/>
          <w:lang w:val="ru-RU"/>
        </w:rPr>
        <w:t>года по адресу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Москва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пл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Журавлева д</w:t>
      </w:r>
      <w:r>
        <w:rPr>
          <w:rFonts w:ascii="Times New Roman Bold"/>
          <w:sz w:val="28"/>
          <w:szCs w:val="28"/>
          <w:rtl w:val="0"/>
          <w:lang w:val="ru-RU"/>
        </w:rPr>
        <w:t>.2.</w:t>
      </w:r>
      <w:r>
        <w:rPr>
          <w:rFonts w:hAnsi="Times New Roman Bold" w:hint="default"/>
          <w:sz w:val="28"/>
          <w:szCs w:val="28"/>
          <w:rtl w:val="0"/>
          <w:lang w:val="ru-RU"/>
        </w:rPr>
        <w:t>стр</w:t>
      </w:r>
      <w:r>
        <w:rPr>
          <w:rFonts w:ascii="Times New Roman Bold"/>
          <w:sz w:val="28"/>
          <w:szCs w:val="28"/>
          <w:rtl w:val="0"/>
          <w:lang w:val="ru-RU"/>
        </w:rPr>
        <w:t xml:space="preserve">.2 </w:t>
      </w:r>
      <w:r>
        <w:rPr>
          <w:rFonts w:hAnsi="Times New Roman Bold" w:hint="default"/>
          <w:sz w:val="28"/>
          <w:szCs w:val="28"/>
          <w:rtl w:val="0"/>
          <w:lang w:val="ru-RU"/>
        </w:rPr>
        <w:t>оф</w:t>
      </w:r>
      <w:r>
        <w:rPr>
          <w:rFonts w:ascii="Times New Roman Bold"/>
          <w:sz w:val="28"/>
          <w:szCs w:val="28"/>
          <w:rtl w:val="0"/>
          <w:lang w:val="ru-RU"/>
        </w:rPr>
        <w:t xml:space="preserve">. 316 </w:t>
      </w:r>
      <w:r>
        <w:rPr>
          <w:rFonts w:hAnsi="Times New Roman Bold" w:hint="default"/>
          <w:sz w:val="28"/>
          <w:szCs w:val="28"/>
          <w:rtl w:val="0"/>
          <w:lang w:val="ru-RU"/>
        </w:rPr>
        <w:t>и по электронному адресу</w:t>
      </w:r>
      <w:r>
        <w:rPr>
          <w:rFonts w:ascii="Times New Roman Bold"/>
          <w:sz w:val="28"/>
          <w:szCs w:val="28"/>
          <w:rtl w:val="0"/>
          <w:lang w:val="ru-RU"/>
        </w:rPr>
        <w:t>:1325556@mail.ru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Прием документов и определение их соответствия условиям конкурса осуществляет секретариат Оргкомитета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Default"/>
        <w:spacing w:after="120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Телефон для справок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тел</w:t>
      </w:r>
      <w:r>
        <w:rPr>
          <w:rFonts w:ascii="Times New Roman Bold"/>
          <w:sz w:val="28"/>
          <w:szCs w:val="28"/>
          <w:rtl w:val="0"/>
          <w:lang w:val="ru-RU"/>
        </w:rPr>
        <w:t>\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факс </w:t>
      </w:r>
      <w:r>
        <w:rPr>
          <w:rFonts w:ascii="Times New Roman Bold"/>
          <w:sz w:val="28"/>
          <w:szCs w:val="28"/>
          <w:rtl w:val="0"/>
          <w:lang w:val="ru-RU"/>
        </w:rPr>
        <w:t xml:space="preserve">(495) 964-95-46, 964-95-45 </w:t>
      </w:r>
    </w:p>
    <w:p>
      <w:pPr>
        <w:pStyle w:val="Normal"/>
        <w:shd w:val="clear" w:color="auto" w:fill="ffffff"/>
        <w:spacing w:after="120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Информация об условиях участия в конкурсе размещена на сайте Ассоциации участников рынка артиндустрии </w:t>
      </w:r>
      <w:hyperlink r:id="rId4" w:history="1">
        <w:r>
          <w:rPr>
            <w:rStyle w:val="Hyperlink.0"/>
            <w:rFonts w:ascii="Times New Roman Bold"/>
            <w:color w:val="0563c1"/>
            <w:sz w:val="28"/>
            <w:szCs w:val="28"/>
            <w:u w:val="single" w:color="0563c1"/>
            <w:rtl w:val="0"/>
            <w:lang w:val="ru-RU"/>
          </w:rPr>
          <w:t>http://industryart.ru</w:t>
        </w:r>
      </w:hyperlink>
    </w:p>
    <w:p>
      <w:pPr>
        <w:pStyle w:val="List Paragraph"/>
        <w:shd w:val="clear" w:color="auto" w:fill="ffffff"/>
        <w:spacing w:after="120" w:line="332" w:lineRule="atLeast"/>
        <w:ind w:lef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4.5.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Присвоение статуса «Рекомендовано педагогическим сообществом» проводится в следующих номинациях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с указанием возможности его использования при работе с детьми дошкольного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начального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среднего и старшего школьного возраста и взрослым населением</w:t>
      </w:r>
      <w:r>
        <w:rPr>
          <w:rFonts w:ascii="Times New Roman Bold"/>
          <w:sz w:val="28"/>
          <w:szCs w:val="28"/>
          <w:rtl w:val="0"/>
          <w:lang w:val="ru-RU"/>
        </w:rPr>
        <w:t>):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информатизации ДОД»</w:t>
      </w:r>
      <w:r>
        <w:rPr>
          <w:rFonts w:ascii="Times New Roman Bold"/>
          <w:sz w:val="28"/>
          <w:szCs w:val="28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 «Оборудование и средства обучения для художественной направленности ДОД»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технической направленности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 том числе для робототехники ДОД»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социально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педагогической направленности ДОД»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физкультурно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спортивной направленности ДОД»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туристско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краеведческой направленности ДОД»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естественнонаучной направленности ДОД»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tabs>
          <w:tab w:val="num" w:pos="580"/>
          <w:tab w:val="left" w:pos="643"/>
          <w:tab w:val="clear" w:pos="641"/>
        </w:tabs>
        <w:bidi w:val="0"/>
        <w:spacing w:after="120" w:line="332" w:lineRule="atLeast"/>
        <w:ind w:left="580" w:right="0" w:hanging="223"/>
        <w:jc w:val="both"/>
        <w:rPr>
          <w:rFonts w:ascii="Times New Roman Bold" w:cs="Times New Roman Bold" w:hAnsi="Times New Roman Bold" w:eastAsia="Times New Roman Bold"/>
          <w:position w:val="0"/>
          <w:sz w:val="28"/>
          <w:szCs w:val="28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«Оборудование и средства обучения для реализации программ внеурочной деятельности»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120" w:line="332" w:lineRule="atLeast"/>
        <w:ind w:left="0" w:firstLine="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4.6. </w:t>
      </w:r>
      <w:r>
        <w:rPr>
          <w:rFonts w:hAnsi="Times New Roman Bold" w:hint="default"/>
          <w:sz w:val="28"/>
          <w:szCs w:val="28"/>
          <w:rtl w:val="0"/>
          <w:lang w:val="ru-RU"/>
        </w:rPr>
        <w:t>Для участия в конкурсе обязательно соблюдение следующих условий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4.6.1. </w:t>
      </w:r>
      <w:r>
        <w:rPr>
          <w:rFonts w:hAnsi="Times New Roman Bold" w:hint="default"/>
          <w:sz w:val="28"/>
          <w:szCs w:val="28"/>
          <w:rtl w:val="0"/>
          <w:lang w:val="ru-RU"/>
        </w:rPr>
        <w:t>Компания производителя или поставщика учебного оборудования и средств обучения для системы образования не должна находиться в состоянии ликвидации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реорганизации или банкротства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4.6.2. </w:t>
      </w:r>
      <w:r>
        <w:rPr>
          <w:rFonts w:hAnsi="Times New Roman Bold" w:hint="default"/>
          <w:sz w:val="28"/>
          <w:szCs w:val="28"/>
          <w:rtl w:val="0"/>
          <w:lang w:val="ru-RU"/>
        </w:rPr>
        <w:t>При подаче заявки производитель оборудования и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средств обучения указывает какое оборудование и какие средства обучения участвуют в какой номинации на присвоение статуса «Рекомендовано педагогическим сообществом»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4.6.3. </w:t>
      </w:r>
      <w:r>
        <w:rPr>
          <w:rFonts w:hAnsi="Times New Roman Bold" w:hint="default"/>
          <w:sz w:val="28"/>
          <w:szCs w:val="28"/>
          <w:rtl w:val="0"/>
          <w:lang w:val="ru-RU"/>
        </w:rPr>
        <w:t>Для проведения первого этапа «педагогической экспертизы» каждый производитель или поставщик обязан предоставить описание учебного оборудования и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средств обучения и необходимые для его оценки фото и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видео материалы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доступ к которым будет предоставлен педагогическому сообществу на сайте Ассоциации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4.6.4. </w:t>
      </w:r>
      <w:r>
        <w:rPr>
          <w:rFonts w:hAnsi="Times New Roman Bold" w:hint="default"/>
          <w:sz w:val="28"/>
          <w:szCs w:val="28"/>
          <w:rtl w:val="0"/>
          <w:lang w:val="ru-RU"/>
        </w:rPr>
        <w:t>Для проведения второго этапа «педагогической экспертизы» производители и поставщики учебного оборудования и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средств обучения организуют мастер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классы и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обучающие семинары для руководителей и педагогов в рамках Межрегионального межведомственного образовательного форума для специалистов системы ДОД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shd w:val="clear" w:color="auto" w:fill="ffffff"/>
        <w:spacing w:after="120"/>
        <w:ind w:firstLine="709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5. </w:t>
      </w:r>
      <w:r>
        <w:rPr>
          <w:rFonts w:hAnsi="Times New Roman Bold" w:hint="default"/>
          <w:sz w:val="28"/>
          <w:szCs w:val="28"/>
          <w:rtl w:val="0"/>
          <w:lang w:val="ru-RU"/>
        </w:rPr>
        <w:t>КРИТЕРИИ ОПРЕДЕЛЕНИЯ ПОБЕДИТЕЛЕЙ</w:t>
      </w:r>
    </w:p>
    <w:p>
      <w:pPr>
        <w:pStyle w:val="Normal"/>
        <w:shd w:val="clear" w:color="auto" w:fill="ffffff"/>
        <w:spacing w:after="120" w:line="332" w:lineRule="atLeas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>5.1.</w:t>
      </w:r>
      <w:r>
        <w:rPr>
          <w:rFonts w:hAnsi="Times New Roman Bold" w:hint="default"/>
          <w:sz w:val="28"/>
          <w:szCs w:val="28"/>
          <w:rtl w:val="0"/>
          <w:lang w:val="ru-RU"/>
        </w:rPr>
        <w:t>Победители конкурса «ВЫБОР ПЕДАГОГОВ» определяются в соответствии со следующими критериями</w:t>
      </w:r>
      <w:r>
        <w:rPr>
          <w:rFonts w:ascii="Times New Roman Bold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21"/>
        </w:numPr>
        <w:shd w:val="clear" w:color="auto" w:fill="ffffff"/>
        <w:tabs>
          <w:tab w:val="num" w:pos="650"/>
          <w:tab w:val="clear" w:pos="426"/>
        </w:tabs>
        <w:bidi w:val="0"/>
        <w:spacing w:after="120" w:line="332" w:lineRule="atLeast"/>
        <w:ind w:left="368" w:right="0" w:firstLine="68"/>
        <w:jc w:val="both"/>
        <w:rPr>
          <w:rFonts w:ascii="Times New Roman Bold" w:cs="Times New Roman Bold" w:hAnsi="Times New Roman Bold" w:eastAsia="Times New Roman Bold"/>
          <w:position w:val="0"/>
          <w:sz w:val="22"/>
          <w:szCs w:val="22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Кэо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Экономическая обоснованность</w:t>
      </w:r>
      <w:r>
        <w:rPr>
          <w:rFonts w:ascii="Times New Roman Bold"/>
          <w:sz w:val="28"/>
          <w:szCs w:val="28"/>
          <w:rtl w:val="0"/>
          <w:lang w:val="ru-RU"/>
        </w:rPr>
        <w:t>)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Экономическую обоснованность использования учебного оборудования и средств обучения можно оценить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соотнеся их стоимость с количеством мероприятий и занятий в которых они могут быть использованы для организации образовательной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творческой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исследовательской и 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hAnsi="Times New Roman Bold" w:hint="default"/>
          <w:sz w:val="28"/>
          <w:szCs w:val="28"/>
          <w:rtl w:val="0"/>
          <w:lang w:val="ru-RU"/>
        </w:rPr>
        <w:t>п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деятельности детей</w:t>
      </w:r>
      <w:r>
        <w:rPr>
          <w:rFonts w:ascii="Times New Roman Bold"/>
          <w:sz w:val="28"/>
          <w:szCs w:val="28"/>
          <w:rtl w:val="0"/>
          <w:lang w:val="ru-RU"/>
        </w:rPr>
        <w:t xml:space="preserve">.  </w:t>
      </w:r>
      <w:r>
        <w:rPr>
          <w:rFonts w:hAnsi="Times New Roman Bold" w:hint="default"/>
          <w:sz w:val="28"/>
          <w:szCs w:val="28"/>
          <w:rtl w:val="0"/>
          <w:lang w:val="ru-RU"/>
        </w:rPr>
        <w:t>Степень массового и регулярного использования учебного оборудования и средств обучения может рассматриваться как качественный показатель экономической обоснованности его использования в системе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4"/>
        </w:numPr>
        <w:shd w:val="clear" w:color="auto" w:fill="ffffff"/>
        <w:tabs>
          <w:tab w:val="num" w:pos="765"/>
          <w:tab w:val="clear" w:pos="855"/>
        </w:tabs>
        <w:bidi w:val="0"/>
        <w:spacing w:after="120" w:line="332" w:lineRule="atLeast"/>
        <w:ind w:left="765" w:right="0" w:hanging="330"/>
        <w:jc w:val="both"/>
        <w:rPr>
          <w:rFonts w:ascii="Times New Roman Bold" w:cs="Times New Roman Bold" w:hAnsi="Times New Roman Bold" w:eastAsia="Times New Roman Bold"/>
          <w:position w:val="0"/>
          <w:sz w:val="22"/>
          <w:szCs w:val="22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Крцз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Реализация целей и задач</w:t>
      </w:r>
      <w:r>
        <w:rPr>
          <w:rFonts w:ascii="Times New Roman Bold"/>
          <w:sz w:val="28"/>
          <w:szCs w:val="28"/>
          <w:rtl w:val="0"/>
          <w:lang w:val="ru-RU"/>
        </w:rPr>
        <w:t>)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 Степень реализации поставленных в программах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</w:t>
      </w:r>
      <w:r>
        <w:rPr>
          <w:rFonts w:ascii="Times New Roman Bold"/>
          <w:sz w:val="28"/>
          <w:szCs w:val="28"/>
          <w:rtl w:val="0"/>
          <w:lang w:val="ru-RU"/>
        </w:rPr>
        <w:t>6</w:t>
      </w:r>
      <w:r>
        <w:rPr>
          <w:rFonts w:hAnsi="Times New Roman Bold" w:hint="default"/>
          <w:sz w:val="28"/>
          <w:szCs w:val="28"/>
          <w:rtl w:val="0"/>
          <w:lang w:val="ru-RU"/>
        </w:rPr>
        <w:t>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 целей и задач является объективным критерием эффективности использования учебного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 том числе цифрового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оборудования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новых современных материалов для организации образовательного процесса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Важно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чтобы оно позволяло не только повысить качество творческой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исследовательской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конструкторской деятельности детей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но и позволяло ставить новые цели и задачи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создавать под них новые современные общеразвивающие программы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27"/>
        </w:numPr>
        <w:shd w:val="clear" w:color="auto" w:fill="ffffff"/>
        <w:tabs>
          <w:tab w:val="num" w:pos="650"/>
          <w:tab w:val="clear" w:pos="426"/>
        </w:tabs>
        <w:bidi w:val="0"/>
        <w:spacing w:after="120" w:line="332" w:lineRule="atLeast"/>
        <w:ind w:left="368" w:right="0" w:firstLine="68"/>
        <w:jc w:val="both"/>
        <w:rPr>
          <w:rFonts w:ascii="Times New Roman Bold" w:cs="Times New Roman Bold" w:hAnsi="Times New Roman Bold" w:eastAsia="Times New Roman Bold"/>
          <w:position w:val="0"/>
          <w:sz w:val="22"/>
          <w:szCs w:val="22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Киодо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Интеграция общего и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>)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Степень использования оборудования и средств обучения для реализации общеразвивающих программ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обеспечивающих формирование метапредметных и личностных результатов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повышения успешности обучения детей в рамках ФГОС и опережающего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обеспечивающего формирование новых умений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качеств личности и компетенций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востребованных развивающейся экономикой России может рассматриваться как качественный показатель степени их эффективного использования в системе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0"/>
        </w:numPr>
        <w:shd w:val="clear" w:color="auto" w:fill="ffffff"/>
        <w:tabs>
          <w:tab w:val="num" w:pos="650"/>
          <w:tab w:val="clear" w:pos="426"/>
        </w:tabs>
        <w:bidi w:val="0"/>
        <w:spacing w:after="120" w:line="332" w:lineRule="atLeast"/>
        <w:ind w:left="368" w:right="0" w:firstLine="68"/>
        <w:jc w:val="both"/>
        <w:rPr>
          <w:rFonts w:ascii="Times New Roman Bold" w:cs="Times New Roman Bold" w:hAnsi="Times New Roman Bold" w:eastAsia="Times New Roman Bold"/>
          <w:position w:val="0"/>
          <w:sz w:val="22"/>
          <w:szCs w:val="22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Квивг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Коэффициент вариативности использования оборудования и средств обучения для различных возрастных групп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Обновление программного поля ДОД предполагает создание условий для активного включения детей в исследовательскую и творческую деятельность с дошкольного возраста и для поддержания интереса детей на протяжении всего процесса обучения в школе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Поэтому оборудование и средства обучения должны обеспечивать преемственность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возможность его использования для работы с группой разновозрастных детей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для реализации семейных программ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для работы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даже эпизодической</w:t>
      </w:r>
      <w:r>
        <w:rPr>
          <w:rFonts w:ascii="Times New Roman Bold"/>
          <w:sz w:val="28"/>
          <w:szCs w:val="28"/>
          <w:rtl w:val="0"/>
          <w:lang w:val="ru-RU"/>
        </w:rPr>
        <w:t xml:space="preserve">) </w:t>
      </w:r>
      <w:r>
        <w:rPr>
          <w:rFonts w:hAnsi="Times New Roman Bold" w:hint="default"/>
          <w:sz w:val="28"/>
          <w:szCs w:val="28"/>
          <w:rtl w:val="0"/>
          <w:lang w:val="ru-RU"/>
        </w:rPr>
        <w:t>со взрослым населением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для реализации программ профессионально подготовки или профессиональной ориентации и 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hAnsi="Times New Roman Bold" w:hint="default"/>
          <w:sz w:val="28"/>
          <w:szCs w:val="28"/>
          <w:rtl w:val="0"/>
          <w:lang w:val="ru-RU"/>
        </w:rPr>
        <w:t>п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Степень вариативности и широты использования оборудования и средств обучения для различных возрастных групп может рассматриваться как качественный показатель степени их эффективного  использования в системе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3"/>
        </w:numPr>
        <w:shd w:val="clear" w:color="auto" w:fill="ffffff"/>
        <w:tabs>
          <w:tab w:val="num" w:pos="650"/>
          <w:tab w:val="clear" w:pos="426"/>
        </w:tabs>
        <w:bidi w:val="0"/>
        <w:spacing w:after="120" w:line="332" w:lineRule="atLeast"/>
        <w:ind w:left="368" w:right="0" w:firstLine="68"/>
        <w:jc w:val="both"/>
        <w:rPr>
          <w:rFonts w:ascii="Times New Roman Bold" w:cs="Times New Roman Bold" w:hAnsi="Times New Roman Bold" w:eastAsia="Times New Roman Bold"/>
          <w:position w:val="0"/>
          <w:sz w:val="22"/>
          <w:szCs w:val="22"/>
          <w:rtl w:val="0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Кзв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коэффициент затратности внедрения</w:t>
      </w:r>
      <w:r>
        <w:rPr>
          <w:rFonts w:ascii="Times New Roman Bold"/>
          <w:sz w:val="28"/>
          <w:szCs w:val="28"/>
          <w:rtl w:val="0"/>
          <w:lang w:val="ru-RU"/>
        </w:rPr>
        <w:t>)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Совершенствование материально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технической базы и обновление программного поля дополнительного образования часто сопряжено с дополнительными временными и организационными затратами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 том числе с дизайном создаваемого образовательного пространства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повышением квалификации педагога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разработкой программного и методического обеспечения дополнительного образования под новое учебное оборудование и средства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. 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Степень затрат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временных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организационных и др</w:t>
      </w:r>
      <w:r>
        <w:rPr>
          <w:rFonts w:ascii="Times New Roman Bold"/>
          <w:sz w:val="28"/>
          <w:szCs w:val="28"/>
          <w:rtl w:val="0"/>
          <w:lang w:val="ru-RU"/>
        </w:rPr>
        <w:t xml:space="preserve">.) </w:t>
      </w:r>
      <w:r>
        <w:rPr>
          <w:rFonts w:hAnsi="Times New Roman Bold" w:hint="default"/>
          <w:sz w:val="28"/>
          <w:szCs w:val="28"/>
          <w:rtl w:val="0"/>
          <w:lang w:val="ru-RU"/>
        </w:rPr>
        <w:t>на введение в эксплуатацию учебного оборудования и средств обучения может рассматриваться как качественный показатель оценки готовности системы образования использовать их для развития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Приоритет коэффициентов</w:t>
      </w:r>
      <w:r>
        <w:rPr>
          <w:rFonts w:ascii="Times New Roman Bold"/>
          <w:sz w:val="28"/>
          <w:szCs w:val="28"/>
          <w:rtl w:val="0"/>
          <w:lang w:val="ru-RU"/>
        </w:rPr>
        <w:t xml:space="preserve">: </w:t>
      </w:r>
      <w:r>
        <w:rPr>
          <w:rFonts w:hAnsi="Times New Roman Bold" w:hint="default"/>
          <w:sz w:val="28"/>
          <w:szCs w:val="28"/>
          <w:rtl w:val="0"/>
          <w:lang w:val="ru-RU"/>
        </w:rPr>
        <w:t>Кэо</w:t>
      </w:r>
      <w:r>
        <w:rPr>
          <w:rFonts w:ascii="Times New Roman Bold"/>
          <w:sz w:val="28"/>
          <w:szCs w:val="28"/>
          <w:rtl w:val="0"/>
          <w:lang w:val="ru-RU"/>
        </w:rPr>
        <w:t>&gt;</w:t>
      </w:r>
      <w:r>
        <w:rPr>
          <w:rFonts w:hAnsi="Times New Roman Bold" w:hint="default"/>
          <w:sz w:val="28"/>
          <w:szCs w:val="28"/>
          <w:rtl w:val="0"/>
          <w:lang w:val="ru-RU"/>
        </w:rPr>
        <w:t>Крцз</w:t>
      </w:r>
      <w:r>
        <w:rPr>
          <w:rFonts w:ascii="Times New Roman Bold"/>
          <w:sz w:val="28"/>
          <w:szCs w:val="28"/>
          <w:rtl w:val="0"/>
          <w:lang w:val="ru-RU"/>
        </w:rPr>
        <w:t>&gt;</w:t>
      </w:r>
      <w:r>
        <w:rPr>
          <w:rFonts w:hAnsi="Times New Roman Bold" w:hint="default"/>
          <w:sz w:val="28"/>
          <w:szCs w:val="28"/>
          <w:rtl w:val="0"/>
          <w:lang w:val="ru-RU"/>
        </w:rPr>
        <w:t>Квивг</w:t>
      </w:r>
      <w:r>
        <w:rPr>
          <w:rFonts w:ascii="Times New Roman Bold"/>
          <w:sz w:val="28"/>
          <w:szCs w:val="28"/>
          <w:rtl w:val="0"/>
          <w:lang w:val="ru-RU"/>
        </w:rPr>
        <w:t>&gt;</w:t>
      </w:r>
      <w:r>
        <w:rPr>
          <w:rFonts w:hAnsi="Times New Roman Bold" w:hint="default"/>
          <w:sz w:val="28"/>
          <w:szCs w:val="28"/>
          <w:rtl w:val="0"/>
          <w:lang w:val="ru-RU"/>
        </w:rPr>
        <w:t>Киодо</w:t>
      </w:r>
      <w:r>
        <w:rPr>
          <w:rFonts w:ascii="Times New Roman Bold"/>
          <w:sz w:val="28"/>
          <w:szCs w:val="28"/>
          <w:rtl w:val="0"/>
          <w:lang w:val="ru-RU"/>
        </w:rPr>
        <w:t>&gt;</w:t>
      </w:r>
      <w:r>
        <w:rPr>
          <w:rFonts w:hAnsi="Times New Roman Bold" w:hint="default"/>
          <w:sz w:val="28"/>
          <w:szCs w:val="28"/>
          <w:rtl w:val="0"/>
          <w:lang w:val="ru-RU"/>
        </w:rPr>
        <w:t>Кзв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hAnsi="Times New Roman Bold" w:hint="default"/>
          <w:sz w:val="28"/>
          <w:szCs w:val="28"/>
          <w:rtl w:val="0"/>
          <w:lang w:val="ru-RU"/>
        </w:rPr>
        <w:t>е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вне зависимости от учебной эффективности учебного оборудования и средств обучения приоритетным является коэффициент экономической эффективности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который оценивает отношение стоимости оборудования и учебного времени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 течение которого оно будет задействовано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В каждой номинации лучшему оборудованию и средствам обучения – в рекламных целях присваивается специальный знак «Рекомендовано педагогическим сообществом»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При подведении итогов конкурса в каждой номинации одна компания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победившая по итогам «педагогической экспертизы»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награждается специальным дипломом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ind w:firstLine="567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 </w:t>
      </w:r>
      <w:r>
        <w:rPr>
          <w:rFonts w:hAnsi="Times New Roman Bold" w:hint="default"/>
          <w:sz w:val="28"/>
          <w:szCs w:val="28"/>
          <w:rtl w:val="0"/>
          <w:lang w:val="ru-RU"/>
        </w:rPr>
        <w:t>ПРОЦЕДУРА И СРОКИ ПРОВЕДЕНИЯ КОНКУРСА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6.1.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На первом этапе конкурса </w:t>
      </w:r>
      <w:r>
        <w:rPr>
          <w:rFonts w:ascii="Times New Roman Bold"/>
          <w:sz w:val="28"/>
          <w:szCs w:val="28"/>
          <w:rtl w:val="0"/>
          <w:lang w:val="ru-RU"/>
        </w:rPr>
        <w:t xml:space="preserve">(01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марта – </w:t>
      </w:r>
      <w:r>
        <w:rPr>
          <w:rFonts w:ascii="Times New Roman Bold"/>
          <w:sz w:val="28"/>
          <w:szCs w:val="28"/>
          <w:rtl w:val="0"/>
          <w:lang w:val="ru-RU"/>
        </w:rPr>
        <w:t>2</w:t>
      </w:r>
      <w:r>
        <w:rPr>
          <w:rFonts w:ascii="Times New Roman Bold"/>
          <w:sz w:val="28"/>
          <w:szCs w:val="28"/>
          <w:rtl w:val="0"/>
          <w:lang w:val="ru-RU"/>
        </w:rPr>
        <w:t>5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марта </w:t>
      </w:r>
      <w:r>
        <w:rPr>
          <w:rFonts w:ascii="Times New Roman Bold"/>
          <w:sz w:val="28"/>
          <w:szCs w:val="28"/>
          <w:rtl w:val="0"/>
          <w:lang w:val="ru-RU"/>
        </w:rPr>
        <w:t>201</w:t>
      </w:r>
      <w:r>
        <w:rPr>
          <w:rFonts w:ascii="Times New Roman Bold"/>
          <w:sz w:val="28"/>
          <w:szCs w:val="28"/>
          <w:rtl w:val="0"/>
          <w:lang w:val="ru-RU"/>
        </w:rPr>
        <w:t>7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года</w:t>
      </w:r>
      <w:r>
        <w:rPr>
          <w:rFonts w:ascii="Times New Roman Bold"/>
          <w:sz w:val="28"/>
          <w:szCs w:val="28"/>
          <w:rtl w:val="0"/>
          <w:lang w:val="ru-RU"/>
        </w:rPr>
        <w:t xml:space="preserve">) </w:t>
      </w:r>
      <w:r>
        <w:rPr>
          <w:rFonts w:hAnsi="Times New Roman Bold" w:hint="default"/>
          <w:sz w:val="28"/>
          <w:szCs w:val="28"/>
          <w:rtl w:val="0"/>
          <w:lang w:val="ru-RU"/>
        </w:rPr>
        <w:t>проходит интернет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голосование на сайте конкурса </w:t>
      </w:r>
      <w:hyperlink r:id="rId5" w:history="1">
        <w:r>
          <w:rPr>
            <w:rStyle w:val="Hyperlink.1"/>
            <w:rFonts w:ascii="Times New Roman Bold"/>
            <w:color w:val="0563c1"/>
            <w:u w:val="single" w:color="0563c1"/>
            <w:rtl w:val="0"/>
            <w:lang w:val="ru-RU"/>
          </w:rPr>
          <w:t>industryart.ru</w:t>
        </w:r>
      </w:hyperlink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6.2. </w:t>
      </w:r>
      <w:r>
        <w:rPr>
          <w:rFonts w:hAnsi="Times New Roman Bold" w:hint="default"/>
          <w:sz w:val="28"/>
          <w:szCs w:val="28"/>
          <w:rtl w:val="0"/>
          <w:lang w:val="ru-RU"/>
        </w:rPr>
        <w:t>В процессе заочного знакомства с оборудованием и средствами обучения по каждой номинации «Экспертным педагогическим советом» формируется сообщество педагогов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экспертов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проводится первый этап экспертизы и ведется запись педагогов для участия в мастер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классах и семинарах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предлагаемых производителями и поставщиками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6.4. </w:t>
      </w:r>
      <w:r>
        <w:rPr>
          <w:rFonts w:hAnsi="Times New Roman Bold" w:hint="default"/>
          <w:sz w:val="28"/>
          <w:szCs w:val="28"/>
          <w:rtl w:val="0"/>
          <w:lang w:val="ru-RU"/>
        </w:rPr>
        <w:t>На презентационной сессии Межрегионального межведомственного образовательного форума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который состоится </w:t>
      </w:r>
      <w:r>
        <w:rPr>
          <w:rFonts w:ascii="Times New Roman Bold"/>
          <w:sz w:val="28"/>
          <w:szCs w:val="28"/>
          <w:rtl w:val="0"/>
          <w:lang w:val="ru-RU"/>
        </w:rPr>
        <w:t>2</w:t>
      </w:r>
      <w:r>
        <w:rPr>
          <w:rFonts w:ascii="Times New Roman Bold"/>
          <w:sz w:val="28"/>
          <w:szCs w:val="28"/>
          <w:rtl w:val="0"/>
          <w:lang w:val="ru-RU"/>
        </w:rPr>
        <w:t>7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ascii="Times New Roman Bold"/>
          <w:sz w:val="28"/>
          <w:szCs w:val="28"/>
          <w:rtl w:val="0"/>
          <w:lang w:val="ru-RU"/>
        </w:rPr>
        <w:t>29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марта </w:t>
      </w:r>
      <w:r>
        <w:rPr>
          <w:rFonts w:ascii="Times New Roman Bold"/>
          <w:sz w:val="28"/>
          <w:szCs w:val="28"/>
          <w:rtl w:val="0"/>
          <w:lang w:val="ru-RU"/>
        </w:rPr>
        <w:t>201</w:t>
      </w:r>
      <w:r>
        <w:rPr>
          <w:rFonts w:ascii="Times New Roman Bold"/>
          <w:sz w:val="28"/>
          <w:szCs w:val="28"/>
          <w:rtl w:val="0"/>
          <w:lang w:val="ru-RU"/>
        </w:rPr>
        <w:t>7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 г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компании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производящие и поставляющие оборудование и средства обучения для системы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проводят презентацию разработок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участвующих в конкурсе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для педагогического сообщества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Время презентации </w:t>
      </w:r>
      <w:r>
        <w:rPr>
          <w:rFonts w:ascii="Times New Roman Bold"/>
          <w:sz w:val="28"/>
          <w:szCs w:val="28"/>
          <w:rtl w:val="0"/>
          <w:lang w:val="ru-RU"/>
        </w:rPr>
        <w:t xml:space="preserve">20 </w:t>
      </w:r>
      <w:r>
        <w:rPr>
          <w:rFonts w:hAnsi="Times New Roman Bold" w:hint="default"/>
          <w:sz w:val="28"/>
          <w:szCs w:val="28"/>
          <w:rtl w:val="0"/>
          <w:lang w:val="ru-RU"/>
        </w:rPr>
        <w:t>минут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6.3. </w:t>
      </w:r>
      <w:r>
        <w:rPr>
          <w:rFonts w:hAnsi="Times New Roman Bold" w:hint="default"/>
          <w:sz w:val="28"/>
          <w:szCs w:val="28"/>
          <w:rtl w:val="0"/>
          <w:lang w:val="ru-RU"/>
        </w:rPr>
        <w:t>В рамках практикоориентированных мастер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классов и семинаров   Межрегионального межведомственного образовательного форума проводится второй этап «педагогической экспертизы»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Педагоги получают право познакомиться с возможностями и особенностями нового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научиться использовать их для повышения эффективности действующих образовательных программ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понять преимущества и</w:t>
      </w:r>
      <w:r>
        <w:rPr>
          <w:rFonts w:ascii="Times New Roman Bold"/>
          <w:sz w:val="28"/>
          <w:szCs w:val="28"/>
          <w:rtl w:val="0"/>
          <w:lang w:val="ru-RU"/>
        </w:rPr>
        <w:t>/</w:t>
      </w:r>
      <w:r>
        <w:rPr>
          <w:rFonts w:hAnsi="Times New Roman Bold" w:hint="default"/>
          <w:sz w:val="28"/>
          <w:szCs w:val="28"/>
          <w:rtl w:val="0"/>
          <w:lang w:val="ru-RU"/>
        </w:rPr>
        <w:t>или перспективы разработки новых образовательных программ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освоить новые технологии работы с материалами для творческой деятельности и 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hAnsi="Times New Roman Bold" w:hint="default"/>
          <w:sz w:val="28"/>
          <w:szCs w:val="28"/>
          <w:rtl w:val="0"/>
          <w:lang w:val="ru-RU"/>
        </w:rPr>
        <w:t>п</w:t>
      </w:r>
      <w:r>
        <w:rPr>
          <w:rFonts w:ascii="Times New Roman Bold"/>
          <w:sz w:val="28"/>
          <w:szCs w:val="28"/>
          <w:rtl w:val="0"/>
          <w:lang w:val="ru-RU"/>
        </w:rPr>
        <w:t xml:space="preserve">., 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и оценить перспективы их использования для развития ДОД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анкета педагога эксперта в приложении </w:t>
      </w:r>
      <w:r>
        <w:rPr>
          <w:rFonts w:ascii="Times New Roman Bold"/>
          <w:sz w:val="28"/>
          <w:szCs w:val="28"/>
          <w:rtl w:val="0"/>
          <w:lang w:val="ru-RU"/>
        </w:rPr>
        <w:t xml:space="preserve">1) 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6.4. </w:t>
      </w:r>
      <w:r>
        <w:rPr>
          <w:rFonts w:hAnsi="Times New Roman Bold" w:hint="default"/>
          <w:sz w:val="28"/>
          <w:szCs w:val="28"/>
          <w:rtl w:val="0"/>
          <w:lang w:val="ru-RU"/>
        </w:rPr>
        <w:t>Для определения победителя оргкомитет анализирует анкеты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подводит итоги и составляет перечень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которые педагоги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эксперты выдвинули на присвоение статуса «Рекомендовано педагогическим сообществом» по всем номинациям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определяют компанию победителя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6.5. </w:t>
      </w:r>
      <w:r>
        <w:rPr>
          <w:rFonts w:hAnsi="Times New Roman Bold" w:hint="default"/>
          <w:sz w:val="28"/>
          <w:szCs w:val="28"/>
          <w:rtl w:val="0"/>
          <w:lang w:val="ru-RU"/>
        </w:rPr>
        <w:t>Оргкомитет в рамках Межрегионального межведомственного образовательного форума по каждой номинации проводит профильные семинары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«Экспертные педагогические советы» организуют обсуждение соотношения потребностей модернизации материально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технической базы образовательных организаций и тенденций развития индустрии товаров для системы дополнительного образования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внеурочной и культурно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досуговой деятельности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формируют запрос к производителям и поставщикам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  <w:r>
        <w:rPr>
          <w:rFonts w:hAnsi="Times New Roman Bold" w:hint="default"/>
          <w:sz w:val="28"/>
          <w:szCs w:val="28"/>
          <w:rtl w:val="0"/>
          <w:lang w:val="ru-RU"/>
        </w:rPr>
        <w:t>На этих семинарах по каждой номинации принимаются решения по присвоению учебному оборудованию и средствам обучения статуса «Рекомендовано педагогическим сообществом»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выбирается компания победитель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6.6. </w:t>
      </w:r>
      <w:r>
        <w:rPr>
          <w:rFonts w:hAnsi="Times New Roman Bold" w:hint="default"/>
          <w:sz w:val="28"/>
          <w:szCs w:val="28"/>
          <w:rtl w:val="0"/>
          <w:lang w:val="ru-RU"/>
        </w:rPr>
        <w:t>По итогам Конкурса «Экспертные педагогические советы» по каждой номинации определяют педагогов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принявших активное участие в процессе педагогической экспертизы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присваивают им статус «Эксперта учебного оборудования и средств обучения для системы дополнительного образования»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вручают соответствующие дипломы</w:t>
      </w:r>
      <w:r>
        <w:rPr>
          <w:rFonts w:ascii="Times New Roman Bold"/>
          <w:sz w:val="28"/>
          <w:szCs w:val="28"/>
          <w:rtl w:val="0"/>
          <w:lang w:val="ru-RU"/>
        </w:rPr>
        <w:t xml:space="preserve">. </w:t>
      </w:r>
    </w:p>
    <w:p>
      <w:pPr>
        <w:pStyle w:val="Normal"/>
        <w:shd w:val="clear" w:color="auto" w:fill="ffffff"/>
        <w:spacing w:after="120" w:line="332" w:lineRule="atLeast"/>
        <w:ind w:firstLine="709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7. </w:t>
      </w:r>
      <w:r>
        <w:rPr>
          <w:rFonts w:hAnsi="Times New Roman Bold" w:hint="default"/>
          <w:sz w:val="28"/>
          <w:szCs w:val="28"/>
          <w:rtl w:val="0"/>
          <w:lang w:val="ru-RU"/>
        </w:rPr>
        <w:t>ФИНАНСИРОВАНИЕ КОНКУРСА</w:t>
      </w:r>
    </w:p>
    <w:p>
      <w:pPr>
        <w:pStyle w:val="Normal"/>
        <w:shd w:val="clear" w:color="auto" w:fill="ffffff"/>
        <w:spacing w:after="120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Затраты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связанные с проведением конкурса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финансируются за счет Ассоциации участников рынка артиндустрии и регистрационных взносов участников конкурсов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ind w:firstLine="709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8. </w:t>
      </w:r>
      <w:r>
        <w:rPr>
          <w:rFonts w:hAnsi="Times New Roman Bold" w:hint="default"/>
          <w:sz w:val="28"/>
          <w:szCs w:val="28"/>
          <w:rtl w:val="0"/>
          <w:lang w:val="ru-RU"/>
        </w:rPr>
        <w:t>ЗАКЛЮЧИТЕЛЬНЫЕ ПОЛОЖЕНИЯ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По итогам проведенных мероприятий формируется профессиональное сообщество педагогов экспертов Ассоциации участников рынка артиндустрии по всем номинациям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вручаются специальные дипломы «Педагог</w:t>
      </w:r>
      <w:r>
        <w:rPr>
          <w:rFonts w:ascii="Times New Roman Bold"/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 xml:space="preserve">эксперт»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по номинации</w:t>
      </w:r>
      <w:r>
        <w:rPr>
          <w:rFonts w:ascii="Times New Roman Bold"/>
          <w:sz w:val="28"/>
          <w:szCs w:val="28"/>
          <w:rtl w:val="0"/>
          <w:lang w:val="ru-RU"/>
        </w:rPr>
        <w:t>).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Организаторы конкурса оставляют за собой право использовать информацию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предоставленную производителями и поставщиками учебного оборудования и средств обучения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аналитические данные проведенных педагогических экспертиз и другую информацию в исследовательских и статистических целях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ind w:firstLine="567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ru-RU"/>
        </w:rPr>
        <w:t xml:space="preserve">9. </w:t>
      </w:r>
      <w:r>
        <w:rPr>
          <w:rFonts w:hAnsi="Times New Roman Bold" w:hint="default"/>
          <w:sz w:val="28"/>
          <w:szCs w:val="28"/>
          <w:rtl w:val="0"/>
          <w:lang w:val="ru-RU"/>
        </w:rPr>
        <w:t>ДОПОЛНИТЕЛЬНЫЕ ПОЛОЖЕНИЯ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Настоящее Положение может быть изменено или дополнено Оргкомитетом Конкурса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hd w:val="clear" w:color="auto" w:fill="ffffff"/>
        <w:spacing w:after="120" w:line="332" w:lineRule="atLeast"/>
        <w:jc w:val="both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 xml:space="preserve">В случае корректировки условий конкурса </w:t>
      </w:r>
      <w:r>
        <w:rPr>
          <w:rFonts w:ascii="Times New Roman Bold"/>
          <w:sz w:val="28"/>
          <w:szCs w:val="28"/>
          <w:rtl w:val="0"/>
          <w:lang w:val="ru-RU"/>
        </w:rPr>
        <w:t>(</w:t>
      </w:r>
      <w:r>
        <w:rPr>
          <w:rFonts w:hAnsi="Times New Roman Bold" w:hint="default"/>
          <w:sz w:val="28"/>
          <w:szCs w:val="28"/>
          <w:rtl w:val="0"/>
          <w:lang w:val="ru-RU"/>
        </w:rPr>
        <w:t>даты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места проведения мероприятий</w:t>
      </w:r>
      <w:r>
        <w:rPr>
          <w:rFonts w:ascii="Times New Roman Bold"/>
          <w:sz w:val="28"/>
          <w:szCs w:val="28"/>
          <w:rtl w:val="0"/>
          <w:lang w:val="ru-RU"/>
        </w:rPr>
        <w:t xml:space="preserve">, </w:t>
      </w:r>
      <w:r>
        <w:rPr>
          <w:rFonts w:hAnsi="Times New Roman Bold" w:hint="default"/>
          <w:sz w:val="28"/>
          <w:szCs w:val="28"/>
          <w:rtl w:val="0"/>
          <w:lang w:val="ru-RU"/>
        </w:rPr>
        <w:t>и т</w:t>
      </w:r>
      <w:r>
        <w:rPr>
          <w:rFonts w:ascii="Times New Roman Bold"/>
          <w:sz w:val="28"/>
          <w:szCs w:val="28"/>
          <w:rtl w:val="0"/>
          <w:lang w:val="ru-RU"/>
        </w:rPr>
        <w:t>.</w:t>
      </w:r>
      <w:r>
        <w:rPr>
          <w:rFonts w:hAnsi="Times New Roman Bold" w:hint="default"/>
          <w:sz w:val="28"/>
          <w:szCs w:val="28"/>
          <w:rtl w:val="0"/>
          <w:lang w:val="ru-RU"/>
        </w:rPr>
        <w:t>д</w:t>
      </w:r>
      <w:r>
        <w:rPr>
          <w:rFonts w:ascii="Times New Roman Bold"/>
          <w:sz w:val="28"/>
          <w:szCs w:val="28"/>
          <w:rtl w:val="0"/>
          <w:lang w:val="ru-RU"/>
        </w:rPr>
        <w:t xml:space="preserve">.), </w:t>
      </w:r>
      <w:r>
        <w:rPr>
          <w:rFonts w:hAnsi="Times New Roman Bold" w:hint="default"/>
          <w:sz w:val="28"/>
          <w:szCs w:val="28"/>
          <w:rtl w:val="0"/>
          <w:lang w:val="ru-RU"/>
        </w:rPr>
        <w:t>Оргкомитет обязан своевременно информировать о внесенных изменениях всех заинтересованных лиц</w:t>
      </w:r>
      <w:r>
        <w:rPr>
          <w:rFonts w:ascii="Times New Roman Bold"/>
          <w:sz w:val="28"/>
          <w:szCs w:val="28"/>
          <w:rtl w:val="0"/>
          <w:lang w:val="ru-RU"/>
        </w:rPr>
        <w:t>.</w:t>
      </w:r>
    </w:p>
    <w:p>
      <w:pPr>
        <w:pStyle w:val="Normal"/>
        <w:spacing w:after="120"/>
        <w:sectPr>
          <w:headerReference w:type="default" r:id="rId6"/>
          <w:footerReference w:type="default" r:id="rId7"/>
          <w:pgSz w:w="11900" w:h="16840" w:orient="portrait"/>
          <w:pgMar w:top="1134" w:right="850" w:bottom="1134" w:left="1701" w:header="708" w:footer="708"/>
          <w:bidi w:val="0"/>
        </w:sectPr>
      </w:pPr>
    </w:p>
    <w:p>
      <w:pPr>
        <w:pStyle w:val="Normal"/>
        <w:spacing w:after="120"/>
        <w:jc w:val="righ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Приложение</w:t>
      </w:r>
      <w:r>
        <w:rPr>
          <w:rFonts w:ascii="Times New Roman Bold"/>
          <w:sz w:val="28"/>
          <w:szCs w:val="28"/>
          <w:rtl w:val="0"/>
          <w:lang w:val="ru-RU"/>
        </w:rPr>
        <w:t xml:space="preserve"> </w:t>
      </w:r>
      <w:r>
        <w:rPr>
          <w:rFonts w:ascii="Times New Roman Bold"/>
          <w:sz w:val="28"/>
          <w:szCs w:val="28"/>
          <w:rtl w:val="0"/>
          <w:lang w:val="ru-RU"/>
        </w:rPr>
        <w:t>1</w:t>
      </w:r>
    </w:p>
    <w:p>
      <w:pPr>
        <w:pStyle w:val="Normal"/>
        <w:spacing w:after="120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hAnsi="Times New Roman Bold" w:hint="default"/>
          <w:sz w:val="28"/>
          <w:szCs w:val="28"/>
          <w:rtl w:val="0"/>
          <w:lang w:val="ru-RU"/>
        </w:rPr>
        <w:t>АНКЕТА ПЕДАГОГА ЭКСПЕРТА</w:t>
      </w:r>
    </w:p>
    <w:tbl>
      <w:tblPr>
        <w:tblW w:w="10324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27"/>
        <w:gridCol w:w="6662"/>
        <w:gridCol w:w="1535"/>
      </w:tblGrid>
      <w:tr>
        <w:tblPrEx>
          <w:shd w:val="clear" w:color="auto" w:fill="auto"/>
        </w:tblPrEx>
        <w:trPr>
          <w:trHeight w:val="626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Коэффициент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Показатель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Экспертная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оценка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99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Кэо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экономическая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обоснованность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рассматриваемых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Эпизодическая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действующих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отдельными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обучающимися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Эпизодическая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массовая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действующих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всеми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обучающимися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Регулярная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действующих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отдельными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обучающимися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 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Регулярная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массовая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действующих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всеми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обучающимися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создания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инвестиционно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привлекательных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родителей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детей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досуговых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образовательных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9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Крцз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Реализация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целей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задач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использованием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рассматриваемого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учебного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повысить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результативность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действующих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сократить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временные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затраты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достижение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целей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получить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более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качественный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результат…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1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ставить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цели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расширить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спектр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задач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действующих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3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ставить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цели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задачи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создавать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под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современные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общеразвивающие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программы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организовать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или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повысить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качество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творческой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исследовательской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конструкторской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проектной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деятельности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3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Киодо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Повышение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эффективности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интеграции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общего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дополнительного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образования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использованием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нового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реализовать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которых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планируются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достигаются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метапредметные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личностные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результаты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давать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знания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развивать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умения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способствующие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повышению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успешности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детей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ФГОС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3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повысить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доступ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глобальным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знаниям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качественной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профориентации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развивать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творческий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потенциал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подрастающего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поколения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2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обеспечить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формирование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умений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качеств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личности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компетенций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востребованных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ХХ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веке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9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Квивг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Коэффициент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вариативности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использования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различных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возрастных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групп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Используется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качестве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тренажера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отрабатывающего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конкретные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умения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Позволяют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освоить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навыки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конструирования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моделирования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заданных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алгоритмов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образцов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Позволяют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проводить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эксперименты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проверяться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различные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гипотезы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организовать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исследовательскую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проектную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деятельность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7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Позволяют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освоить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технологии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навыки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конструирования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моделирования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применить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создания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собственного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авторского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продукта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деятельности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2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узкой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категории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подчеркнуть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дошкольники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начальная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средняя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старшая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школа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взрослое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население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8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преемственность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организации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занятий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различными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возрастными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группами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подчеркнуть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):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дошкольники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начальная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средняя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старшая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школа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взрослое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население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занятий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разновозрастной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группой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детей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занятий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рамках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инклюзивного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образования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семейных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досуговых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сетевых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другими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организациями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3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реализации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профессионального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7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Использование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реализации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профессионального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для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взрослых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31" w:hRule="atLeast"/>
        </w:trPr>
        <w:tc>
          <w:tcPr>
            <w:tcW w:type="dxa" w:w="21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Кзв</w:t>
            </w:r>
          </w:p>
          <w:p>
            <w:pPr>
              <w:pStyle w:val="Normal"/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Затраты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временные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организационные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др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.)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введение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учебного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обучения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Включение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требует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минимальных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затрат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временных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организационных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небольшого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возможно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самостоятельного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педагога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8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Включение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требует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значительных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временных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организационных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затрат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самостоятельную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разработку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методического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обеспечения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образовательного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процесса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74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Включение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требует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позволяет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минимизировать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временных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организационные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затраты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за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счет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наличия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программного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методического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обеспечения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предлагаемого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производителем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8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Включение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его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методического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обеспечения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требует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специального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практикоориентированного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повышения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квалификации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педагога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59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Включение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оборудования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средств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обучения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требует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приглашения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работу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нового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педагога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высокой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квалификацией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45" w:hRule="atLeast"/>
        </w:trPr>
        <w:tc>
          <w:tcPr>
            <w:tcW w:type="dxa" w:w="21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Включение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эксплуатацию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требует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создания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специального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дизайн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проекта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образовательного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пространства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after="120" w:line="240" w:lineRule="auto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heading 2"/>
        <w:shd w:val="clear" w:color="auto" w:fill="ffffff"/>
        <w:spacing w:before="0" w:after="0"/>
        <w:jc w:val="both"/>
      </w:pPr>
      <w:r>
        <w:rPr>
          <w:rFonts w:hAnsi="Times New Roman Bold" w:hint="default"/>
          <w:sz w:val="28"/>
          <w:szCs w:val="28"/>
          <w:rtl w:val="0"/>
          <w:lang w:val="ru-RU"/>
        </w:rPr>
        <w:t>Итоговое мнение и предложения педагога</w:t>
      </w:r>
      <w:r>
        <w:rPr>
          <w:sz w:val="28"/>
          <w:szCs w:val="28"/>
          <w:rtl w:val="0"/>
          <w:lang w:val="ru-RU"/>
        </w:rPr>
        <w:t>-</w:t>
      </w:r>
      <w:r>
        <w:rPr>
          <w:rFonts w:hAnsi="Times New Roman Bold" w:hint="default"/>
          <w:sz w:val="28"/>
          <w:szCs w:val="28"/>
          <w:rtl w:val="0"/>
          <w:lang w:val="ru-RU"/>
        </w:rPr>
        <w:t>эксперта</w:t>
      </w:r>
      <w:r>
        <w:rPr>
          <w:sz w:val="28"/>
          <w:szCs w:val="28"/>
          <w:rtl w:val="0"/>
          <w:lang w:val="ru-RU"/>
        </w:rPr>
        <w:t>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w="11900" w:h="16840" w:orient="portrait"/>
      <w:pgMar w:top="1134" w:right="851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0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3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  <w:rtl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348"/>
          <w:tab w:val="clear" w:pos="0"/>
        </w:tabs>
        <w:ind w:left="348" w:hanging="348"/>
      </w:pPr>
      <w:rPr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15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641"/>
          <w:tab w:val="clear" w:pos="0"/>
        </w:tabs>
        <w:ind w:left="641" w:hanging="284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)"/>
      <w:lvlJc w:val="left"/>
      <w:pPr>
        <w:tabs>
          <w:tab w:val="num" w:pos="641"/>
          <w:tab w:val="clear" w:pos="0"/>
        </w:tabs>
        <w:ind w:left="641" w:hanging="284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70"/>
          <w:tab w:val="clear" w:pos="0"/>
        </w:tabs>
        <w:ind w:left="1570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90"/>
          <w:tab w:val="clear" w:pos="0"/>
        </w:tabs>
        <w:ind w:left="2290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10"/>
          <w:tab w:val="clear" w:pos="0"/>
        </w:tabs>
        <w:ind w:left="3010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730"/>
          <w:tab w:val="clear" w:pos="0"/>
        </w:tabs>
        <w:ind w:left="3730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450"/>
          <w:tab w:val="clear" w:pos="0"/>
        </w:tabs>
        <w:ind w:left="4450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70"/>
          <w:tab w:val="clear" w:pos="0"/>
        </w:tabs>
        <w:ind w:left="5170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90"/>
          <w:tab w:val="clear" w:pos="0"/>
        </w:tabs>
        <w:ind w:left="5890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10"/>
          <w:tab w:val="clear" w:pos="0"/>
        </w:tabs>
        <w:ind w:left="6610" w:hanging="490"/>
      </w:pPr>
      <w:rPr>
        <w:color w:val="000000"/>
        <w:position w:val="0"/>
        <w:sz w:val="28"/>
        <w:szCs w:val="28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2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55"/>
          <w:tab w:val="clear" w:pos="0"/>
        </w:tabs>
        <w:ind w:left="855" w:hanging="420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22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•"/>
      <w:lvlJc w:val="left"/>
      <w:pPr>
        <w:tabs>
          <w:tab w:val="num" w:pos="855"/>
          <w:tab w:val="clear" w:pos="0"/>
        </w:tabs>
        <w:ind w:left="855" w:hanging="420"/>
      </w:pPr>
      <w:rPr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2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0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2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28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•"/>
      <w:lvlJc w:val="left"/>
      <w:pPr>
        <w:tabs>
          <w:tab w:val="num" w:pos="426"/>
          <w:tab w:val="clear" w:pos="0"/>
        </w:tabs>
        <w:ind w:left="426" w:hanging="272"/>
      </w:pPr>
      <w:rPr>
        <w:color w:val="000000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645"/>
          <w:tab w:val="clear" w:pos="0"/>
        </w:tabs>
        <w:ind w:left="1645" w:hanging="490"/>
      </w:pPr>
      <w:rPr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365"/>
          <w:tab w:val="clear" w:pos="0"/>
        </w:tabs>
        <w:ind w:left="2365" w:hanging="490"/>
      </w:pPr>
      <w:rPr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3085"/>
          <w:tab w:val="clear" w:pos="0"/>
        </w:tabs>
        <w:ind w:left="3085" w:hanging="490"/>
      </w:pPr>
      <w:rPr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805"/>
          <w:tab w:val="clear" w:pos="0"/>
        </w:tabs>
        <w:ind w:left="3805" w:hanging="490"/>
      </w:pPr>
      <w:rPr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525"/>
          <w:tab w:val="clear" w:pos="0"/>
        </w:tabs>
        <w:ind w:left="4525" w:hanging="490"/>
      </w:pPr>
      <w:rPr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245"/>
          <w:tab w:val="clear" w:pos="0"/>
        </w:tabs>
        <w:ind w:left="5245" w:hanging="490"/>
      </w:pPr>
      <w:rPr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965"/>
          <w:tab w:val="clear" w:pos="0"/>
        </w:tabs>
        <w:ind w:left="5965" w:hanging="490"/>
      </w:pPr>
      <w:rPr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685"/>
          <w:tab w:val="clear" w:pos="0"/>
        </w:tabs>
        <w:ind w:left="6685" w:hanging="490"/>
      </w:pPr>
      <w:rPr>
        <w:color w:val="000000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ead">
    <w:name w:val="lead"/>
    <w:next w:val="lea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1"/>
    <w:next w:val="List 1"/>
    <w:pPr>
      <w:numPr>
        <w:numId w:val="4"/>
      </w:numPr>
    </w:pPr>
  </w:style>
  <w:style w:type="numbering" w:styleId="List 2">
    <w:name w:val="List 2"/>
    <w:basedOn w:val="Импортированный стиль 2"/>
    <w:next w:val="List 2"/>
    <w:pPr>
      <w:numPr>
        <w:numId w:val="6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7"/>
      </w:numPr>
    </w:pPr>
  </w:style>
  <w:style w:type="numbering" w:styleId="List 3">
    <w:name w:val="List 3"/>
    <w:basedOn w:val="Импортированный стиль 3"/>
    <w:next w:val="List 3"/>
    <w:pPr>
      <w:numPr>
        <w:numId w:val="9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10"/>
      </w:numPr>
    </w:pPr>
  </w:style>
  <w:style w:type="numbering" w:styleId="List 4">
    <w:name w:val="List 4"/>
    <w:basedOn w:val="Импортированный стиль 4"/>
    <w:next w:val="List 4"/>
    <w:pPr>
      <w:numPr>
        <w:numId w:val="12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3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1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563c1"/>
      <w:sz w:val="28"/>
      <w:szCs w:val="28"/>
      <w:u w:val="single" w:color="0563c1"/>
    </w:rPr>
  </w:style>
  <w:style w:type="numbering" w:styleId="List 5">
    <w:name w:val="List 5"/>
    <w:basedOn w:val="Импортированный стиль 5"/>
    <w:next w:val="List 5"/>
    <w:pPr>
      <w:numPr>
        <w:numId w:val="16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7"/>
      </w:numPr>
    </w:pPr>
  </w:style>
  <w:style w:type="numbering" w:styleId="List 6">
    <w:name w:val="List 6"/>
    <w:basedOn w:val="Импортированный стиль 6"/>
    <w:next w:val="List 6"/>
    <w:pPr>
      <w:numPr>
        <w:numId w:val="19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20"/>
      </w:numPr>
    </w:pPr>
  </w:style>
  <w:style w:type="numbering" w:styleId="List 7">
    <w:name w:val="List 7"/>
    <w:basedOn w:val="Импортированный стиль 7"/>
    <w:next w:val="List 7"/>
    <w:pPr>
      <w:numPr>
        <w:numId w:val="22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3"/>
      </w:numPr>
    </w:pPr>
  </w:style>
  <w:style w:type="numbering" w:styleId="List 8">
    <w:name w:val="List 8"/>
    <w:basedOn w:val="Импортированный стиль 8"/>
    <w:next w:val="List 8"/>
    <w:pPr>
      <w:numPr>
        <w:numId w:val="25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6"/>
      </w:numPr>
    </w:pPr>
  </w:style>
  <w:style w:type="numbering" w:styleId="List 9">
    <w:name w:val="List 9"/>
    <w:basedOn w:val="Импортированный стиль 9"/>
    <w:next w:val="List 9"/>
    <w:pPr>
      <w:numPr>
        <w:numId w:val="28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29"/>
      </w:numPr>
    </w:pPr>
  </w:style>
  <w:style w:type="numbering" w:styleId="List 10">
    <w:name w:val="List 10"/>
    <w:basedOn w:val="Импортированный стиль 10"/>
    <w:next w:val="List 10"/>
    <w:pPr>
      <w:numPr>
        <w:numId w:val="31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32"/>
      </w:numPr>
    </w:pPr>
  </w:style>
  <w:style w:type="character" w:styleId="Hyperlink.1">
    <w:name w:val="Hyperlink.1"/>
    <w:basedOn w:val="Нет"/>
    <w:next w:val="Hyperlink.1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industryart.ru" TargetMode="External"/><Relationship Id="rId5" Type="http://schemas.openxmlformats.org/officeDocument/2006/relationships/hyperlink" Target="http://industryart.r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